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46" w:rsidRPr="001C7F1D" w:rsidRDefault="00A201C2" w:rsidP="001C7F1D">
      <w:pPr>
        <w:pStyle w:val="Ttulo4"/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PROJETO DE LEI</w:t>
      </w:r>
      <w:r w:rsidR="00024F46" w:rsidRPr="001C7F1D">
        <w:rPr>
          <w:rFonts w:ascii="Arial" w:hAnsi="Arial" w:cs="Arial"/>
          <w:color w:val="auto"/>
          <w:sz w:val="22"/>
          <w:szCs w:val="22"/>
        </w:rPr>
        <w:t xml:space="preserve"> N</w:t>
      </w:r>
      <w:r w:rsidR="00024F46" w:rsidRPr="0063597B">
        <w:rPr>
          <w:rFonts w:ascii="Arial" w:hAnsi="Arial" w:cs="Arial"/>
          <w:color w:val="auto"/>
          <w:sz w:val="22"/>
          <w:szCs w:val="22"/>
        </w:rPr>
        <w:t>º</w:t>
      </w:r>
    </w:p>
    <w:p w:rsidR="00024F46" w:rsidRPr="001C7F1D" w:rsidRDefault="00024F46" w:rsidP="00BF5C4F">
      <w:pPr>
        <w:widowControl/>
        <w:ind w:left="2552"/>
        <w:jc w:val="both"/>
        <w:rPr>
          <w:rFonts w:cs="Arial"/>
          <w:color w:val="auto"/>
          <w:szCs w:val="22"/>
        </w:rPr>
      </w:pPr>
    </w:p>
    <w:p w:rsidR="00024F46" w:rsidRPr="001C7F1D" w:rsidRDefault="00024F46" w:rsidP="00BF5C4F">
      <w:pPr>
        <w:widowControl/>
        <w:ind w:left="2552"/>
        <w:jc w:val="both"/>
        <w:rPr>
          <w:rFonts w:cs="Arial"/>
          <w:color w:val="auto"/>
          <w:szCs w:val="22"/>
        </w:rPr>
      </w:pPr>
    </w:p>
    <w:p w:rsidR="00EF47D3" w:rsidRPr="001C7F1D" w:rsidRDefault="00EF47D3" w:rsidP="00BF5C4F">
      <w:pPr>
        <w:widowControl/>
        <w:ind w:left="2552"/>
        <w:jc w:val="both"/>
        <w:rPr>
          <w:rFonts w:cs="Arial"/>
          <w:color w:val="auto"/>
          <w:szCs w:val="22"/>
        </w:rPr>
      </w:pPr>
    </w:p>
    <w:p w:rsidR="00024F46" w:rsidRPr="001C7F1D" w:rsidRDefault="00024F46" w:rsidP="00BF5C4F">
      <w:pPr>
        <w:widowControl/>
        <w:ind w:left="2552"/>
        <w:jc w:val="both"/>
        <w:rPr>
          <w:rFonts w:cs="Arial"/>
          <w:color w:val="auto"/>
          <w:szCs w:val="22"/>
        </w:rPr>
      </w:pPr>
    </w:p>
    <w:p w:rsidR="00024F46" w:rsidRPr="001C7F1D" w:rsidRDefault="00BF5362" w:rsidP="001C7F1D">
      <w:pPr>
        <w:widowControl/>
        <w:ind w:left="2552"/>
        <w:jc w:val="both"/>
        <w:rPr>
          <w:rFonts w:cs="Arial"/>
          <w:color w:val="auto"/>
          <w:szCs w:val="22"/>
        </w:rPr>
      </w:pPr>
      <w:bookmarkStart w:id="0" w:name="_GoBack"/>
      <w:r w:rsidRPr="00BF5362">
        <w:rPr>
          <w:rFonts w:cs="Arial"/>
        </w:rPr>
        <w:t>Institui o Plano Plurianual para o quadriênio 2020-2023 e estabelece outras providências</w:t>
      </w:r>
      <w:bookmarkEnd w:id="0"/>
      <w:r w:rsidR="00EE1AD8">
        <w:rPr>
          <w:rFonts w:cs="Arial"/>
          <w:snapToGrid w:val="0"/>
          <w:szCs w:val="22"/>
        </w:rPr>
        <w:t>.</w:t>
      </w:r>
    </w:p>
    <w:p w:rsidR="00024F46" w:rsidRPr="001C7F1D" w:rsidRDefault="00024F46" w:rsidP="00BF5C4F">
      <w:pPr>
        <w:widowControl/>
        <w:ind w:left="2552"/>
        <w:jc w:val="both"/>
        <w:rPr>
          <w:rFonts w:cs="Arial"/>
          <w:color w:val="auto"/>
          <w:szCs w:val="22"/>
        </w:rPr>
      </w:pPr>
    </w:p>
    <w:p w:rsidR="00024F46" w:rsidRPr="001C7F1D" w:rsidRDefault="00024F46" w:rsidP="00BF5C4F">
      <w:pPr>
        <w:widowControl/>
        <w:ind w:left="2552"/>
        <w:jc w:val="both"/>
        <w:rPr>
          <w:rFonts w:cs="Arial"/>
          <w:color w:val="auto"/>
          <w:szCs w:val="22"/>
        </w:rPr>
      </w:pPr>
    </w:p>
    <w:p w:rsidR="00024F46" w:rsidRPr="001C7F1D" w:rsidRDefault="00024F46" w:rsidP="00BF5C4F">
      <w:pPr>
        <w:widowControl/>
        <w:ind w:left="2552"/>
        <w:jc w:val="both"/>
        <w:rPr>
          <w:rFonts w:cs="Arial"/>
          <w:color w:val="auto"/>
          <w:szCs w:val="22"/>
        </w:rPr>
      </w:pPr>
    </w:p>
    <w:p w:rsidR="00024F46" w:rsidRPr="001C7F1D" w:rsidRDefault="00024F46" w:rsidP="001C7F1D">
      <w:pPr>
        <w:widowControl/>
        <w:ind w:firstLine="2552"/>
        <w:jc w:val="both"/>
        <w:rPr>
          <w:rFonts w:cs="Arial"/>
          <w:b/>
          <w:color w:val="auto"/>
          <w:spacing w:val="16"/>
          <w:szCs w:val="22"/>
        </w:rPr>
      </w:pPr>
      <w:r w:rsidRPr="001C7F1D">
        <w:rPr>
          <w:rFonts w:cs="Arial"/>
          <w:b/>
          <w:color w:val="auto"/>
          <w:spacing w:val="16"/>
          <w:szCs w:val="22"/>
        </w:rPr>
        <w:t>O GOVERNADOR DO ESTADO DE SANTA CATA</w:t>
      </w:r>
      <w:r w:rsidR="005252D8" w:rsidRPr="001C7F1D">
        <w:rPr>
          <w:rFonts w:cs="Arial"/>
          <w:b/>
          <w:color w:val="auto"/>
          <w:spacing w:val="16"/>
          <w:szCs w:val="22"/>
        </w:rPr>
        <w:t>RINA</w:t>
      </w:r>
    </w:p>
    <w:p w:rsidR="00024F46" w:rsidRPr="001C7F1D" w:rsidRDefault="00024F46" w:rsidP="001C7F1D">
      <w:pPr>
        <w:pStyle w:val="Corpodetexto21"/>
        <w:widowControl/>
        <w:ind w:firstLine="2552"/>
        <w:rPr>
          <w:rFonts w:ascii="Arial" w:hAnsi="Arial" w:cs="Arial"/>
          <w:color w:val="auto"/>
          <w:sz w:val="22"/>
          <w:szCs w:val="22"/>
        </w:rPr>
      </w:pPr>
      <w:r w:rsidRPr="001C7F1D">
        <w:rPr>
          <w:rFonts w:ascii="Arial" w:hAnsi="Arial" w:cs="Arial"/>
          <w:color w:val="auto"/>
          <w:sz w:val="22"/>
          <w:szCs w:val="22"/>
        </w:rPr>
        <w:t>Faço saber a todos os habitantes deste Estado que a Assembleia Legislativa decreta e eu sanc</w:t>
      </w:r>
      <w:r w:rsidR="007D5676">
        <w:rPr>
          <w:rFonts w:ascii="Arial" w:hAnsi="Arial" w:cs="Arial"/>
          <w:color w:val="auto"/>
          <w:sz w:val="22"/>
          <w:szCs w:val="22"/>
        </w:rPr>
        <w:t>iono a seguinte Lei</w:t>
      </w:r>
      <w:r w:rsidRPr="001C7F1D">
        <w:rPr>
          <w:rFonts w:ascii="Arial" w:hAnsi="Arial" w:cs="Arial"/>
          <w:color w:val="auto"/>
          <w:sz w:val="22"/>
          <w:szCs w:val="22"/>
        </w:rPr>
        <w:t>:</w:t>
      </w:r>
    </w:p>
    <w:p w:rsidR="00024F46" w:rsidRPr="001C7F1D" w:rsidRDefault="00024F46" w:rsidP="001C7F1D">
      <w:pPr>
        <w:widowControl/>
        <w:ind w:firstLine="2552"/>
        <w:jc w:val="both"/>
        <w:rPr>
          <w:rFonts w:cs="Arial"/>
          <w:color w:val="auto"/>
          <w:szCs w:val="22"/>
        </w:rPr>
      </w:pPr>
    </w:p>
    <w:p w:rsidR="008C27F7" w:rsidRDefault="008C27F7" w:rsidP="001C7F1D">
      <w:pPr>
        <w:widowControl/>
        <w:ind w:firstLine="2552"/>
        <w:jc w:val="both"/>
        <w:rPr>
          <w:rFonts w:cs="Arial"/>
          <w:color w:val="auto"/>
          <w:szCs w:val="22"/>
        </w:rPr>
      </w:pPr>
    </w:p>
    <w:p w:rsidR="00BF5362" w:rsidRPr="00BF5362" w:rsidRDefault="00BF5362" w:rsidP="0029521F">
      <w:pPr>
        <w:widowControl/>
        <w:jc w:val="center"/>
        <w:rPr>
          <w:rFonts w:cs="Arial"/>
          <w:color w:val="auto"/>
          <w:szCs w:val="22"/>
        </w:rPr>
      </w:pPr>
      <w:r w:rsidRPr="00BF5362">
        <w:rPr>
          <w:rFonts w:cs="Arial"/>
          <w:color w:val="auto"/>
          <w:szCs w:val="22"/>
        </w:rPr>
        <w:t>CAPÍTULO I</w:t>
      </w:r>
    </w:p>
    <w:p w:rsidR="00BF5362" w:rsidRDefault="00BF5362" w:rsidP="0029521F">
      <w:pPr>
        <w:widowControl/>
        <w:jc w:val="center"/>
        <w:rPr>
          <w:rFonts w:cs="Arial"/>
          <w:color w:val="auto"/>
          <w:szCs w:val="22"/>
        </w:rPr>
      </w:pPr>
      <w:r w:rsidRPr="00BF5362">
        <w:rPr>
          <w:rFonts w:cs="Arial"/>
          <w:color w:val="auto"/>
          <w:szCs w:val="22"/>
        </w:rPr>
        <w:t>DA ESTRUTURA E ORGANIZAÇÃO DO PLANO PLURIANUAL</w:t>
      </w:r>
      <w:r w:rsidR="00EA4627">
        <w:rPr>
          <w:rFonts w:cs="Arial"/>
          <w:color w:val="auto"/>
          <w:szCs w:val="22"/>
        </w:rPr>
        <w:t xml:space="preserve"> </w:t>
      </w:r>
      <w:r w:rsidR="00EA4627">
        <w:rPr>
          <w:rFonts w:cs="Arial"/>
          <w:color w:val="auto"/>
          <w:szCs w:val="22"/>
        </w:rPr>
        <w:br/>
        <w:t>PARA O QUADRIÊNIO 2020-2023</w:t>
      </w:r>
    </w:p>
    <w:p w:rsidR="00BF5362" w:rsidRPr="001C7F1D" w:rsidRDefault="00BF5362" w:rsidP="001C7F1D">
      <w:pPr>
        <w:widowControl/>
        <w:ind w:firstLine="2552"/>
        <w:jc w:val="both"/>
        <w:rPr>
          <w:rFonts w:cs="Arial"/>
          <w:color w:val="auto"/>
          <w:szCs w:val="22"/>
        </w:rPr>
      </w:pPr>
    </w:p>
    <w:p w:rsidR="00BF5362" w:rsidRPr="00BF5362" w:rsidRDefault="008A0615" w:rsidP="00BF5362">
      <w:pPr>
        <w:autoSpaceDE w:val="0"/>
        <w:autoSpaceDN w:val="0"/>
        <w:ind w:firstLine="2552"/>
        <w:jc w:val="both"/>
        <w:rPr>
          <w:rFonts w:cs="Arial"/>
        </w:rPr>
      </w:pPr>
      <w:r w:rsidRPr="00A30758">
        <w:rPr>
          <w:rFonts w:cs="Arial"/>
        </w:rPr>
        <w:t xml:space="preserve">Art. 1º </w:t>
      </w:r>
      <w:r w:rsidR="00BF5362" w:rsidRPr="00BF5362">
        <w:rPr>
          <w:rFonts w:cs="Arial"/>
        </w:rPr>
        <w:t xml:space="preserve">Esta Lei institui o Plano Plurianual para o quadriênio </w:t>
      </w:r>
      <w:r w:rsidR="0029521F">
        <w:rPr>
          <w:rFonts w:cs="Arial"/>
        </w:rPr>
        <w:br/>
      </w:r>
      <w:r w:rsidR="00BF5362" w:rsidRPr="00BF5362">
        <w:rPr>
          <w:rFonts w:cs="Arial"/>
        </w:rPr>
        <w:t>2020-2023 (PPA 2020-2023), em cumprimento ao disposto no art. 120 da Constituição do Estado.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Parágrafo único. Integram o PPA 2020-2023: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 – o Anexo I, contendo: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a) Programas Temáticos; e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b) Programas de Gestão, </w:t>
      </w:r>
      <w:r w:rsidR="002D0172">
        <w:rPr>
          <w:rFonts w:cs="Arial"/>
        </w:rPr>
        <w:t>Manutenção e Serviços; e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II – o Anexo II, contendo as prioridades da Administração Pública Estadual</w:t>
      </w:r>
      <w:r w:rsidR="00224CF5">
        <w:rPr>
          <w:rFonts w:cs="Arial"/>
        </w:rPr>
        <w:t xml:space="preserve"> do Poder Executivo</w:t>
      </w:r>
      <w:r w:rsidRPr="00BF5362">
        <w:rPr>
          <w:rFonts w:cs="Arial"/>
        </w:rPr>
        <w:t xml:space="preserve"> para o exercício financeiro de 2020, em cumprimento ao disposto no art. 4º da Lei nº 17.753, de 10 de julho de 2019.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Art. 2º O PPA 2020-2023 organiza a atuação governamental em programas orientados para o alcance dos objetivos estratégicos definidos para o período do Plano.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Art. 3º Os programas e as subações do PPA 2020-2023 serão observados </w:t>
      </w:r>
      <w:r w:rsidR="004B5170">
        <w:rPr>
          <w:rFonts w:cs="Arial"/>
        </w:rPr>
        <w:t>pelas</w:t>
      </w:r>
      <w:r w:rsidR="004B5170" w:rsidRPr="00BF5362">
        <w:rPr>
          <w:rFonts w:cs="Arial"/>
        </w:rPr>
        <w:t xml:space="preserve"> </w:t>
      </w:r>
      <w:r w:rsidRPr="00BF5362">
        <w:rPr>
          <w:rFonts w:cs="Arial"/>
        </w:rPr>
        <w:t xml:space="preserve">leis de diretrizes orçamentárias, </w:t>
      </w:r>
      <w:r w:rsidR="004B5170">
        <w:rPr>
          <w:rFonts w:cs="Arial"/>
        </w:rPr>
        <w:t>pelas</w:t>
      </w:r>
      <w:r w:rsidR="004B5170" w:rsidRPr="00BF5362">
        <w:rPr>
          <w:rFonts w:cs="Arial"/>
        </w:rPr>
        <w:t xml:space="preserve"> </w:t>
      </w:r>
      <w:r w:rsidRPr="00BF5362">
        <w:rPr>
          <w:rFonts w:cs="Arial"/>
        </w:rPr>
        <w:t xml:space="preserve">leis orçamentárias anuais e </w:t>
      </w:r>
      <w:r w:rsidR="004B5170">
        <w:rPr>
          <w:rFonts w:cs="Arial"/>
        </w:rPr>
        <w:t>pelas</w:t>
      </w:r>
      <w:r w:rsidR="004B5170" w:rsidRPr="00BF5362">
        <w:rPr>
          <w:rFonts w:cs="Arial"/>
        </w:rPr>
        <w:t xml:space="preserve"> </w:t>
      </w:r>
      <w:r w:rsidRPr="00BF5362">
        <w:rPr>
          <w:rFonts w:cs="Arial"/>
        </w:rPr>
        <w:t>leis que as alterarem.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Art. 4º Para efeito desta Lei, entende-se por: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 – programa: instrumento de organização da ação governamental</w:t>
      </w:r>
      <w:r w:rsidR="0041623B">
        <w:rPr>
          <w:rFonts w:cs="Arial"/>
        </w:rPr>
        <w:t xml:space="preserve"> para enfrentar</w:t>
      </w:r>
      <w:r w:rsidRPr="00BF5362">
        <w:rPr>
          <w:rFonts w:cs="Arial"/>
        </w:rPr>
        <w:t xml:space="preserve"> um problema, </w:t>
      </w:r>
      <w:r w:rsidR="0041623B">
        <w:rPr>
          <w:rFonts w:cs="Arial"/>
        </w:rPr>
        <w:t>atender a</w:t>
      </w:r>
      <w:r w:rsidRPr="00BF5362">
        <w:rPr>
          <w:rFonts w:cs="Arial"/>
        </w:rPr>
        <w:t xml:space="preserve"> uma demanda da sociedade ou </w:t>
      </w:r>
      <w:r w:rsidR="0041623B">
        <w:rPr>
          <w:rFonts w:cs="Arial"/>
        </w:rPr>
        <w:t>aproveitar</w:t>
      </w:r>
      <w:r w:rsidRPr="00BF5362">
        <w:rPr>
          <w:rFonts w:cs="Arial"/>
        </w:rPr>
        <w:t xml:space="preserve"> uma oportunidade, </w:t>
      </w:r>
      <w:r w:rsidR="0041623B">
        <w:rPr>
          <w:rFonts w:cs="Arial"/>
        </w:rPr>
        <w:t>capaz de</w:t>
      </w:r>
      <w:r w:rsidR="0041623B" w:rsidRPr="00BF5362">
        <w:rPr>
          <w:rFonts w:cs="Arial"/>
        </w:rPr>
        <w:t xml:space="preserve"> </w:t>
      </w:r>
      <w:r w:rsidRPr="00BF5362">
        <w:rPr>
          <w:rFonts w:cs="Arial"/>
        </w:rPr>
        <w:t>articula</w:t>
      </w:r>
      <w:r w:rsidR="0041623B">
        <w:rPr>
          <w:rFonts w:cs="Arial"/>
        </w:rPr>
        <w:t>r</w:t>
      </w:r>
      <w:r w:rsidRPr="00BF5362">
        <w:rPr>
          <w:rFonts w:cs="Arial"/>
        </w:rPr>
        <w:t xml:space="preserve"> um conjunto coerente de subações necessárias e suficientes para atingir o seu objetivo, de modo a superar as causas do problema ou </w:t>
      </w:r>
      <w:r w:rsidR="00611E17">
        <w:rPr>
          <w:rFonts w:cs="Arial"/>
        </w:rPr>
        <w:t xml:space="preserve">satisfazer a </w:t>
      </w:r>
      <w:r w:rsidRPr="00BF5362">
        <w:rPr>
          <w:rFonts w:cs="Arial"/>
        </w:rPr>
        <w:t>oportun</w:t>
      </w:r>
      <w:r w:rsidR="009C55D2">
        <w:rPr>
          <w:rFonts w:cs="Arial"/>
        </w:rPr>
        <w:t>idade, sendo classificado como:</w:t>
      </w:r>
    </w:p>
    <w:p w:rsidR="009C55D2" w:rsidRPr="00BF5362" w:rsidRDefault="009C55D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a) programas temáticos: </w:t>
      </w:r>
      <w:r w:rsidR="00477767">
        <w:rPr>
          <w:rFonts w:cs="Arial"/>
        </w:rPr>
        <w:t>ofertam</w:t>
      </w:r>
      <w:r w:rsidR="00477767" w:rsidRPr="00BF5362">
        <w:rPr>
          <w:rFonts w:cs="Arial"/>
        </w:rPr>
        <w:t xml:space="preserve"> </w:t>
      </w:r>
      <w:r w:rsidRPr="00BF5362">
        <w:rPr>
          <w:rFonts w:cs="Arial"/>
        </w:rPr>
        <w:t xml:space="preserve">bens ou serviços diretamente </w:t>
      </w:r>
      <w:r w:rsidRPr="00BF5362">
        <w:rPr>
          <w:rFonts w:cs="Arial"/>
        </w:rPr>
        <w:lastRenderedPageBreak/>
        <w:t xml:space="preserve">à sociedade, </w:t>
      </w:r>
      <w:r w:rsidR="00477767">
        <w:rPr>
          <w:rFonts w:cs="Arial"/>
        </w:rPr>
        <w:t>com</w:t>
      </w:r>
      <w:r w:rsidR="00477767" w:rsidRPr="00BF5362">
        <w:rPr>
          <w:rFonts w:cs="Arial"/>
        </w:rPr>
        <w:t xml:space="preserve"> </w:t>
      </w:r>
      <w:r w:rsidRPr="00BF5362">
        <w:rPr>
          <w:rFonts w:cs="Arial"/>
        </w:rPr>
        <w:t>resultados passíveis de mensuração e de aferição por indicadores; e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9F68D0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b) programas de gestão, manutenção e serviços: aqueles voltados a serviços típicos de Estado, ao planejamento</w:t>
      </w:r>
      <w:r w:rsidR="00A30C69">
        <w:rPr>
          <w:rFonts w:cs="Arial"/>
        </w:rPr>
        <w:t xml:space="preserve"> e</w:t>
      </w:r>
      <w:r w:rsidR="00A30C69" w:rsidRPr="00BF5362">
        <w:rPr>
          <w:rFonts w:cs="Arial"/>
        </w:rPr>
        <w:t xml:space="preserve"> </w:t>
      </w:r>
      <w:r w:rsidRPr="00BF5362">
        <w:rPr>
          <w:rFonts w:cs="Arial"/>
        </w:rPr>
        <w:t xml:space="preserve">à formulação de políticas setoriais, </w:t>
      </w:r>
      <w:r w:rsidR="00A30C69">
        <w:rPr>
          <w:rFonts w:cs="Arial"/>
        </w:rPr>
        <w:t xml:space="preserve">bem como </w:t>
      </w:r>
      <w:r w:rsidRPr="00BF5362">
        <w:rPr>
          <w:rFonts w:cs="Arial"/>
        </w:rPr>
        <w:t xml:space="preserve">à coordenação, à avaliação </w:t>
      </w:r>
      <w:r w:rsidR="00A30C69">
        <w:rPr>
          <w:rFonts w:cs="Arial"/>
        </w:rPr>
        <w:t>e</w:t>
      </w:r>
      <w:r w:rsidR="00A30C69" w:rsidRPr="00BF5362">
        <w:rPr>
          <w:rFonts w:cs="Arial"/>
        </w:rPr>
        <w:t xml:space="preserve"> </w:t>
      </w:r>
      <w:r w:rsidRPr="00BF5362">
        <w:rPr>
          <w:rFonts w:cs="Arial"/>
        </w:rPr>
        <w:t xml:space="preserve">ao controle dos programas temáticos, resultando </w:t>
      </w:r>
      <w:r w:rsidR="00A30C69">
        <w:rPr>
          <w:rFonts w:cs="Arial"/>
        </w:rPr>
        <w:t>deles</w:t>
      </w:r>
      <w:r w:rsidR="00A30C69" w:rsidRPr="00BF5362">
        <w:rPr>
          <w:rFonts w:cs="Arial"/>
        </w:rPr>
        <w:t xml:space="preserve"> </w:t>
      </w:r>
      <w:r w:rsidRPr="00BF5362">
        <w:rPr>
          <w:rFonts w:cs="Arial"/>
        </w:rPr>
        <w:t xml:space="preserve">bens </w:t>
      </w:r>
      <w:r w:rsidR="00A30C69">
        <w:rPr>
          <w:rFonts w:cs="Arial"/>
        </w:rPr>
        <w:t>e</w:t>
      </w:r>
      <w:r w:rsidR="00A30C69" w:rsidRPr="00BF5362">
        <w:rPr>
          <w:rFonts w:cs="Arial"/>
        </w:rPr>
        <w:t xml:space="preserve"> </w:t>
      </w:r>
      <w:r w:rsidRPr="00BF5362">
        <w:rPr>
          <w:rFonts w:cs="Arial"/>
        </w:rPr>
        <w:t>serviços necessários ao funcionamento do Estado, podendo ser compostos inclusive por despesas de natureza tipicamente administrativas;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4F6DA1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II – subação: instrumento de programação que contribui para atender ao objetivo de um programa</w:t>
      </w:r>
      <w:r w:rsidR="004F6DA1">
        <w:rPr>
          <w:rFonts w:cs="Arial"/>
        </w:rPr>
        <w:t>;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6831D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III – unidade orçamentária: agrupamento de serviços subordinados ao mesmo órgão ou</w:t>
      </w:r>
      <w:r w:rsidR="006831D2">
        <w:rPr>
          <w:rFonts w:cs="Arial"/>
        </w:rPr>
        <w:t xml:space="preserve"> à mesma </w:t>
      </w:r>
      <w:r w:rsidRPr="00BF5362">
        <w:rPr>
          <w:rFonts w:cs="Arial"/>
        </w:rPr>
        <w:t>entidade a que serão consignadas dotações próprias pela lei orçamentária</w:t>
      </w:r>
      <w:r w:rsidR="006831D2">
        <w:rPr>
          <w:rFonts w:cs="Arial"/>
        </w:rPr>
        <w:t>; e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IV – unidade gestora: unidade orçamentária investida de poder para gerir créditos orçamentários e/ou recursos financeiros.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5442B7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CAPÍTULO II</w:t>
      </w:r>
    </w:p>
    <w:p w:rsidR="00BF5362" w:rsidRPr="00BF5362" w:rsidRDefault="00BF5362" w:rsidP="005442B7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DA GESTÃO DO PLANO PLURIANUAL</w:t>
      </w:r>
      <w:r w:rsidR="00D40E9E">
        <w:rPr>
          <w:rFonts w:cs="Arial"/>
        </w:rPr>
        <w:t xml:space="preserve"> PARA O QUADRIÊNIO 2020-2023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5442B7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Seção I</w:t>
      </w:r>
    </w:p>
    <w:p w:rsidR="00BF5362" w:rsidRPr="00BF5362" w:rsidRDefault="005442B7" w:rsidP="005442B7">
      <w:pPr>
        <w:autoSpaceDE w:val="0"/>
        <w:autoSpaceDN w:val="0"/>
        <w:jc w:val="center"/>
        <w:rPr>
          <w:rFonts w:cs="Arial"/>
        </w:rPr>
      </w:pPr>
      <w:r>
        <w:rPr>
          <w:rFonts w:cs="Arial"/>
        </w:rPr>
        <w:t xml:space="preserve">Dos </w:t>
      </w:r>
      <w:r w:rsidR="00BF5362" w:rsidRPr="00BF5362">
        <w:rPr>
          <w:rFonts w:cs="Arial"/>
        </w:rPr>
        <w:t>Aspectos Gerais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Art. 5º A gestão do PPA 2020-2023 observará os princípios da eficiência, eficácia e efetividade e compreenderá a implementação, o monitoramento, a avaliação e a revisão de programas.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§ 1º Os programas e </w:t>
      </w:r>
      <w:r w:rsidR="003C0D81">
        <w:rPr>
          <w:rFonts w:cs="Arial"/>
        </w:rPr>
        <w:t xml:space="preserve">as </w:t>
      </w:r>
      <w:r w:rsidRPr="00BF5362">
        <w:rPr>
          <w:rFonts w:cs="Arial"/>
        </w:rPr>
        <w:t xml:space="preserve">subações do PPA 2020-2023 </w:t>
      </w:r>
      <w:r w:rsidR="002B492A">
        <w:rPr>
          <w:rFonts w:cs="Arial"/>
        </w:rPr>
        <w:br/>
      </w:r>
      <w:r w:rsidR="003C0D81">
        <w:rPr>
          <w:rFonts w:cs="Arial"/>
        </w:rPr>
        <w:t>vincular-se-ão</w:t>
      </w:r>
      <w:r w:rsidRPr="00BF5362">
        <w:rPr>
          <w:rFonts w:cs="Arial"/>
        </w:rPr>
        <w:t xml:space="preserve"> aos objetivos estratégicos d</w:t>
      </w:r>
      <w:r w:rsidR="00944575">
        <w:rPr>
          <w:rFonts w:cs="Arial"/>
        </w:rPr>
        <w:t>e</w:t>
      </w:r>
      <w:r w:rsidRPr="00BF5362">
        <w:rPr>
          <w:rFonts w:cs="Arial"/>
        </w:rPr>
        <w:t xml:space="preserve"> </w:t>
      </w:r>
      <w:r w:rsidR="00142BEB">
        <w:rPr>
          <w:rFonts w:cs="Arial"/>
        </w:rPr>
        <w:t>g</w:t>
      </w:r>
      <w:r w:rsidRPr="00BF5362">
        <w:rPr>
          <w:rFonts w:cs="Arial"/>
        </w:rPr>
        <w:t>overno, com os respectivos indicadores de avaliação e acompanhamento, com vistas a orientar a atuação da Administração Pública Estadual</w:t>
      </w:r>
      <w:r w:rsidR="002B492A">
        <w:rPr>
          <w:rFonts w:cs="Arial"/>
        </w:rPr>
        <w:t xml:space="preserve"> do Poder Executivo</w:t>
      </w:r>
      <w:r w:rsidRPr="00BF5362">
        <w:rPr>
          <w:rFonts w:cs="Arial"/>
        </w:rPr>
        <w:t>.</w:t>
      </w:r>
    </w:p>
    <w:p w:rsidR="00944575" w:rsidRPr="00BF5362" w:rsidRDefault="00944575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§ 2º É de responsabilidade dos órgãos e </w:t>
      </w:r>
      <w:r w:rsidR="00944575">
        <w:rPr>
          <w:rFonts w:cs="Arial"/>
        </w:rPr>
        <w:t xml:space="preserve">das </w:t>
      </w:r>
      <w:r w:rsidRPr="00BF5362">
        <w:rPr>
          <w:rFonts w:cs="Arial"/>
        </w:rPr>
        <w:t>entidades</w:t>
      </w:r>
      <w:r w:rsidR="002243DE">
        <w:rPr>
          <w:rFonts w:cs="Arial"/>
        </w:rPr>
        <w:t xml:space="preserve"> da Administração Pública Estadual</w:t>
      </w:r>
      <w:r w:rsidR="00B72CF6">
        <w:rPr>
          <w:rFonts w:cs="Arial"/>
        </w:rPr>
        <w:t xml:space="preserve"> do Poder Executivo</w:t>
      </w:r>
      <w:r w:rsidRPr="00BF5362">
        <w:rPr>
          <w:rFonts w:cs="Arial"/>
        </w:rPr>
        <w:t xml:space="preserve"> a proposição, a execução e o acompanhamento dos programas e </w:t>
      </w:r>
      <w:r w:rsidR="00944575">
        <w:rPr>
          <w:rFonts w:cs="Arial"/>
        </w:rPr>
        <w:t xml:space="preserve">das </w:t>
      </w:r>
      <w:r w:rsidRPr="00BF5362">
        <w:rPr>
          <w:rFonts w:cs="Arial"/>
        </w:rPr>
        <w:t>subações que compõe</w:t>
      </w:r>
      <w:r w:rsidR="002243DE">
        <w:rPr>
          <w:rFonts w:cs="Arial"/>
        </w:rPr>
        <w:t>m</w:t>
      </w:r>
      <w:r w:rsidRPr="00BF5362">
        <w:rPr>
          <w:rFonts w:cs="Arial"/>
        </w:rPr>
        <w:t xml:space="preserve"> o PPA 2020-2023.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Art. 6º Caberá ao Poder Executivo estabelecer normas complementares para a gestão do PPA 2020-2023.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Parágrafo único. O Poder Executivo manterá atualizado</w:t>
      </w:r>
      <w:r w:rsidR="00EC6386">
        <w:rPr>
          <w:rFonts w:cs="Arial"/>
        </w:rPr>
        <w:t>,</w:t>
      </w:r>
      <w:r w:rsidRPr="00BF5362">
        <w:rPr>
          <w:rFonts w:cs="Arial"/>
        </w:rPr>
        <w:t xml:space="preserve"> em sítio eletrônico</w:t>
      </w:r>
      <w:r w:rsidR="00EC6386">
        <w:rPr>
          <w:rFonts w:cs="Arial"/>
        </w:rPr>
        <w:t>,</w:t>
      </w:r>
      <w:r w:rsidRPr="00BF5362">
        <w:rPr>
          <w:rFonts w:cs="Arial"/>
        </w:rPr>
        <w:t xml:space="preserve"> o conjunto de informações necessárias ao acompanhamento da gestão do </w:t>
      </w:r>
      <w:r w:rsidR="00B1529C">
        <w:rPr>
          <w:rFonts w:cs="Arial"/>
        </w:rPr>
        <w:br/>
      </w:r>
      <w:r w:rsidRPr="00BF5362">
        <w:rPr>
          <w:rFonts w:cs="Arial"/>
        </w:rPr>
        <w:t>PPA 2020-2023.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1529C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Seção II</w:t>
      </w:r>
    </w:p>
    <w:p w:rsidR="00BF5362" w:rsidRPr="00BF5362" w:rsidRDefault="00BF5362" w:rsidP="00B1529C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Das Revisões e Alterações do Plano Plurianual</w:t>
      </w:r>
      <w:r w:rsidR="001D6E51">
        <w:rPr>
          <w:rFonts w:cs="Arial"/>
        </w:rPr>
        <w:t xml:space="preserve"> para o Quadriênio 2020-2023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Art. 7º A exclusão de programas constantes desta Lei ou a inclusão de novo programa serão propostas pelo Poder Executivo por meio de projeto de lei de revisão anual ou projeto de lei específico de alteração desta Lei.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§ 1º Os projetos de lei de revisão anual, quando necessários, </w:t>
      </w:r>
      <w:r w:rsidRPr="00BF5362">
        <w:rPr>
          <w:rFonts w:cs="Arial"/>
        </w:rPr>
        <w:lastRenderedPageBreak/>
        <w:t>serão encaminhados à Assembleia Legislativa do Estado de Santa Catarina (ALESC) até 30 de setembro.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§ 2º Considera</w:t>
      </w:r>
      <w:r w:rsidR="00EC6386">
        <w:rPr>
          <w:rFonts w:cs="Arial"/>
        </w:rPr>
        <w:t>m</w:t>
      </w:r>
      <w:r w:rsidRPr="00BF5362">
        <w:rPr>
          <w:rFonts w:cs="Arial"/>
        </w:rPr>
        <w:t>-se alteração de programa: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 – modificação da denominação, do objetivo ou do público-alvo do programa; e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II – inclusão ou exclusão de subações.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Art. 8º Os valores financeiros contidos nesta Lei estão em conformidade </w:t>
      </w:r>
      <w:r w:rsidR="003F5C96">
        <w:rPr>
          <w:rFonts w:cs="Arial"/>
        </w:rPr>
        <w:t xml:space="preserve">com </w:t>
      </w:r>
      <w:r w:rsidR="003F5C96" w:rsidRPr="00BF5362">
        <w:rPr>
          <w:rFonts w:cs="Arial"/>
        </w:rPr>
        <w:t xml:space="preserve">o </w:t>
      </w:r>
      <w:r w:rsidRPr="00BF5362">
        <w:rPr>
          <w:rFonts w:cs="Arial"/>
        </w:rPr>
        <w:t>que determina o § 2º</w:t>
      </w:r>
      <w:r w:rsidR="003F5C96">
        <w:rPr>
          <w:rFonts w:cs="Arial"/>
        </w:rPr>
        <w:t xml:space="preserve"> do</w:t>
      </w:r>
      <w:r w:rsidRPr="00BF5362">
        <w:rPr>
          <w:rFonts w:cs="Arial"/>
        </w:rPr>
        <w:t xml:space="preserve"> art. 31 da Lei</w:t>
      </w:r>
      <w:r w:rsidR="003F5C96">
        <w:rPr>
          <w:rFonts w:cs="Arial"/>
        </w:rPr>
        <w:t xml:space="preserve"> nº</w:t>
      </w:r>
      <w:r w:rsidRPr="00BF5362">
        <w:rPr>
          <w:rFonts w:cs="Arial"/>
        </w:rPr>
        <w:t xml:space="preserve"> 17.753, de 2019.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Art. 9º O Poder Executivo fica autorizado a: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 – alterar o órgão ou a unidade orçamentária responsável por programas e subações, podendo modificar o código numérico da subação sem alterar os demais atributos;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II – adequar a meta física da subação para compatibilizá-la com alterações no seu valor, no seu produto ou na sua unidade de medida, efetivadas pelas leis orçamentárias anuais e </w:t>
      </w:r>
      <w:r w:rsidR="00923FB2">
        <w:rPr>
          <w:rFonts w:cs="Arial"/>
        </w:rPr>
        <w:t xml:space="preserve">por </w:t>
      </w:r>
      <w:r w:rsidRPr="00BF5362">
        <w:rPr>
          <w:rFonts w:cs="Arial"/>
        </w:rPr>
        <w:t xml:space="preserve">seus créditos adicionais ou por leis que alterarem o </w:t>
      </w:r>
      <w:r w:rsidR="00923FB2">
        <w:rPr>
          <w:rFonts w:cs="Arial"/>
        </w:rPr>
        <w:br/>
      </w:r>
      <w:r w:rsidRPr="00BF5362">
        <w:rPr>
          <w:rFonts w:cs="Arial"/>
        </w:rPr>
        <w:t>PPA 2020-2023;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III – corrigir o título do produto e da unidade de medida das subações, com vistas à melhoria do processo de monitoramento e avaliação;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IV – atualizar a meta financeira das subações do PPA 2020-2023 em virtude de abertura de créditos adicionais; e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V – movimentar recursos financeiros entre as subações de um programa.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968C7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Seção III</w:t>
      </w:r>
    </w:p>
    <w:p w:rsidR="00BF5362" w:rsidRPr="00BF5362" w:rsidRDefault="00BF5362" w:rsidP="00B968C7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Do Monitoramento e da Avaliação do Plano Plurianual</w:t>
      </w:r>
      <w:r w:rsidR="00B968C7">
        <w:rPr>
          <w:rFonts w:cs="Arial"/>
        </w:rPr>
        <w:t xml:space="preserve"> para o Quadriênio 2020-2023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Art. 10. O monitoramento e a avaliação do PPA 2020-2023 serão realizados por meio do módulo de acompanhamento físico do </w:t>
      </w:r>
      <w:r w:rsidR="002A14B7" w:rsidRPr="002A14B7">
        <w:rPr>
          <w:rFonts w:cs="Arial"/>
        </w:rPr>
        <w:t xml:space="preserve">Sistema Integrado de Planejamento e Gestão Fiscal do Estado de Santa Catarina </w:t>
      </w:r>
      <w:r w:rsidR="002A14B7">
        <w:rPr>
          <w:rFonts w:cs="Arial"/>
        </w:rPr>
        <w:t>(</w:t>
      </w:r>
      <w:r w:rsidRPr="00BF5362">
        <w:rPr>
          <w:rFonts w:cs="Arial"/>
        </w:rPr>
        <w:t>SIGEF</w:t>
      </w:r>
      <w:r w:rsidR="002A14B7">
        <w:rPr>
          <w:rFonts w:cs="Arial"/>
        </w:rPr>
        <w:t>)</w:t>
      </w:r>
      <w:r w:rsidRPr="00BF5362">
        <w:rPr>
          <w:rFonts w:cs="Arial"/>
        </w:rPr>
        <w:t>, sob a gestão do núcleo técnico do órgão central do Sistema Administrativo de Planejamento Orçamentário, competindo-lhe definir diretrizes e orientações técnicas para seu funcionamento.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Art. 11. Os órgãos e as entidades do Poder Executivo, abrangendo seus fundos, suas autarquias, suas fundações, suas empresas públicas e suas sociedades de economia mista, pertencentes aos Orçamentos Fiscal, da Seguridade Social e de Investimento, responsáveis por programas e subações nos termos do Anexo I desta Lei, deverão manter atualizadas, durante cada exercício financeiro, as informações referentes à execução física das subações sob sua responsabilidade, na forma estabelecida pelo núcleo técnico do órgão central do Sistema Administrativo de Planejamento Orçamentário.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 xml:space="preserve">Parágrafo único. Para subsidiar a elaboração da prestação de </w:t>
      </w:r>
      <w:r w:rsidRPr="00BF5362">
        <w:rPr>
          <w:rFonts w:cs="Arial"/>
        </w:rPr>
        <w:lastRenderedPageBreak/>
        <w:t>contas anual do Poder Executivo, os registros no módulo de acompanhamento físico do SIGEF deverão ser atualizados de acordo com a periodicidade específica de cada subação orçamentária definida no PPA 2020-2023.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E6383F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CAPÍTULO III</w:t>
      </w:r>
    </w:p>
    <w:p w:rsidR="00BF5362" w:rsidRPr="00BF5362" w:rsidRDefault="00BF5362" w:rsidP="00E6383F">
      <w:pPr>
        <w:autoSpaceDE w:val="0"/>
        <w:autoSpaceDN w:val="0"/>
        <w:jc w:val="center"/>
        <w:rPr>
          <w:rFonts w:cs="Arial"/>
        </w:rPr>
      </w:pPr>
      <w:r w:rsidRPr="00BF5362">
        <w:rPr>
          <w:rFonts w:cs="Arial"/>
        </w:rPr>
        <w:t>DAS DISPOSIÇÕES FINAIS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  <w:r w:rsidRPr="00BF5362">
        <w:rPr>
          <w:rFonts w:cs="Arial"/>
        </w:rPr>
        <w:t>Art. 12. O Poder Executivo divulgará pela internet, em decorrência das alterações ocorridas, texto atualizado desta Lei, pelo menos 1 (uma) vez em cada um dos anos subsequentes à</w:t>
      </w:r>
      <w:r w:rsidR="00FE282C">
        <w:rPr>
          <w:rFonts w:cs="Arial"/>
        </w:rPr>
        <w:t xml:space="preserve"> sua</w:t>
      </w:r>
      <w:r w:rsidRPr="00BF5362">
        <w:rPr>
          <w:rFonts w:cs="Arial"/>
        </w:rPr>
        <w:t xml:space="preserve"> aprovação</w:t>
      </w:r>
      <w:r w:rsidR="00FE282C">
        <w:rPr>
          <w:rFonts w:cs="Arial"/>
        </w:rPr>
        <w:t>.</w:t>
      </w:r>
    </w:p>
    <w:p w:rsidR="00BF5362" w:rsidRPr="00BF5362" w:rsidRDefault="00BF5362" w:rsidP="00BF5362">
      <w:pPr>
        <w:autoSpaceDE w:val="0"/>
        <w:autoSpaceDN w:val="0"/>
        <w:ind w:firstLine="2552"/>
        <w:jc w:val="both"/>
        <w:rPr>
          <w:rFonts w:cs="Arial"/>
        </w:rPr>
      </w:pPr>
    </w:p>
    <w:p w:rsidR="008A0615" w:rsidRPr="00295F02" w:rsidRDefault="00BF5362" w:rsidP="00BF5362">
      <w:pPr>
        <w:autoSpaceDE w:val="0"/>
        <w:autoSpaceDN w:val="0"/>
        <w:ind w:firstLine="2552"/>
        <w:jc w:val="both"/>
        <w:rPr>
          <w:rFonts w:cs="Arial"/>
          <w:szCs w:val="22"/>
        </w:rPr>
      </w:pPr>
      <w:r w:rsidRPr="00BF5362">
        <w:rPr>
          <w:rFonts w:cs="Arial"/>
        </w:rPr>
        <w:t>Art. 13. Esta Lei entra em vigor na data de sua publicação.</w:t>
      </w:r>
    </w:p>
    <w:p w:rsidR="00B86E6E" w:rsidRDefault="00B86E6E" w:rsidP="001C7F1D">
      <w:pPr>
        <w:widowControl/>
        <w:ind w:firstLine="2552"/>
        <w:jc w:val="both"/>
        <w:rPr>
          <w:rFonts w:cs="Arial"/>
          <w:color w:val="auto"/>
          <w:szCs w:val="22"/>
        </w:rPr>
      </w:pPr>
    </w:p>
    <w:p w:rsidR="00024F46" w:rsidRPr="001C7F1D" w:rsidRDefault="00024F46" w:rsidP="001C7F1D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  <w:r w:rsidRPr="001C7F1D">
        <w:rPr>
          <w:rFonts w:ascii="Arial" w:hAnsi="Arial" w:cs="Arial"/>
          <w:sz w:val="22"/>
          <w:szCs w:val="22"/>
        </w:rPr>
        <w:t>Florianópolis,</w:t>
      </w:r>
    </w:p>
    <w:p w:rsidR="00024F46" w:rsidRPr="001C7F1D" w:rsidRDefault="00024F46" w:rsidP="0096697B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</w:p>
    <w:p w:rsidR="00024F46" w:rsidRPr="001C7F1D" w:rsidRDefault="00024F46" w:rsidP="0096697B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</w:p>
    <w:p w:rsidR="00024F46" w:rsidRPr="001C7F1D" w:rsidRDefault="00024F46" w:rsidP="0096697B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</w:p>
    <w:p w:rsidR="00024F46" w:rsidRPr="001C7F1D" w:rsidRDefault="00024F46" w:rsidP="0096697B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</w:p>
    <w:p w:rsidR="00024F46" w:rsidRPr="001C7F1D" w:rsidRDefault="0052640E" w:rsidP="00885D3C">
      <w:pPr>
        <w:pStyle w:val="A281071"/>
        <w:ind w:left="0" w:right="0" w:firstLine="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CARLOS MOISÉS DA SILVA</w:t>
      </w:r>
    </w:p>
    <w:p w:rsidR="005252D8" w:rsidRPr="001C7F1D" w:rsidRDefault="00024F46" w:rsidP="00885D3C">
      <w:pPr>
        <w:widowControl/>
        <w:jc w:val="center"/>
        <w:rPr>
          <w:rFonts w:cs="Arial"/>
          <w:szCs w:val="22"/>
        </w:rPr>
      </w:pPr>
      <w:r w:rsidRPr="001C7F1D">
        <w:rPr>
          <w:rFonts w:cs="Arial"/>
          <w:szCs w:val="22"/>
        </w:rPr>
        <w:t>Governador do Estado</w:t>
      </w:r>
    </w:p>
    <w:sectPr w:rsidR="005252D8" w:rsidRPr="001C7F1D" w:rsidSect="00BF5C4F">
      <w:headerReference w:type="default" r:id="rId7"/>
      <w:footerReference w:type="even" r:id="rId8"/>
      <w:footerReference w:type="default" r:id="rId9"/>
      <w:pgSz w:w="11907" w:h="16840" w:code="9"/>
      <w:pgMar w:top="1418" w:right="1418" w:bottom="1418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6D" w:rsidRDefault="00D9326D">
      <w:r>
        <w:separator/>
      </w:r>
    </w:p>
  </w:endnote>
  <w:endnote w:type="continuationSeparator" w:id="1">
    <w:p w:rsidR="00D9326D" w:rsidRDefault="00D93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thern">
    <w:altName w:val="Impac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E2" w:rsidRDefault="00CF43E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44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40E2" w:rsidRDefault="00E440E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891299"/>
      <w:docPartObj>
        <w:docPartGallery w:val="Page Numbers (Bottom of Page)"/>
        <w:docPartUnique/>
      </w:docPartObj>
    </w:sdtPr>
    <w:sdtContent>
      <w:p w:rsidR="00BF5362" w:rsidRDefault="00CF43EF">
        <w:pPr>
          <w:pStyle w:val="Rodap"/>
          <w:jc w:val="center"/>
        </w:pPr>
        <w:r w:rsidRPr="00BF5362">
          <w:rPr>
            <w:sz w:val="18"/>
            <w:szCs w:val="18"/>
          </w:rPr>
          <w:fldChar w:fldCharType="begin"/>
        </w:r>
        <w:r w:rsidR="00BF5362" w:rsidRPr="00BF5362">
          <w:rPr>
            <w:sz w:val="18"/>
            <w:szCs w:val="18"/>
          </w:rPr>
          <w:instrText>PAGE   \* MERGEFORMAT</w:instrText>
        </w:r>
        <w:r w:rsidRPr="00BF5362">
          <w:rPr>
            <w:sz w:val="18"/>
            <w:szCs w:val="18"/>
          </w:rPr>
          <w:fldChar w:fldCharType="separate"/>
        </w:r>
        <w:r w:rsidR="00737668">
          <w:rPr>
            <w:noProof/>
            <w:sz w:val="18"/>
            <w:szCs w:val="18"/>
          </w:rPr>
          <w:t>1</w:t>
        </w:r>
        <w:r w:rsidRPr="00BF5362">
          <w:rPr>
            <w:sz w:val="18"/>
            <w:szCs w:val="18"/>
          </w:rPr>
          <w:fldChar w:fldCharType="end"/>
        </w:r>
      </w:p>
    </w:sdtContent>
  </w:sdt>
  <w:p w:rsidR="00E440E2" w:rsidRPr="00BF5362" w:rsidRDefault="00CF43EF" w:rsidP="00727150">
    <w:pPr>
      <w:pStyle w:val="Rodap"/>
      <w:rPr>
        <w:sz w:val="10"/>
        <w:szCs w:val="10"/>
      </w:rPr>
    </w:pPr>
    <w:fldSimple w:instr=" FILENAME \* MERGEFORMAT ">
      <w:r w:rsidR="00AB7B45">
        <w:rPr>
          <w:noProof/>
          <w:sz w:val="10"/>
          <w:szCs w:val="10"/>
        </w:rPr>
        <w:t>PJ_032_PPA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6D" w:rsidRDefault="00D9326D">
      <w:r>
        <w:separator/>
      </w:r>
    </w:p>
  </w:footnote>
  <w:footnote w:type="continuationSeparator" w:id="1">
    <w:p w:rsidR="00D9326D" w:rsidRDefault="00D93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Layout w:type="fixed"/>
      <w:tblCellMar>
        <w:left w:w="0" w:type="dxa"/>
        <w:right w:w="0" w:type="dxa"/>
      </w:tblCellMar>
      <w:tblLook w:val="0000"/>
    </w:tblPr>
    <w:tblGrid>
      <w:gridCol w:w="788"/>
      <w:gridCol w:w="8001"/>
    </w:tblGrid>
    <w:tr w:rsidR="00E440E2">
      <w:trPr>
        <w:cantSplit/>
      </w:trPr>
      <w:tc>
        <w:tcPr>
          <w:tcW w:w="788" w:type="dxa"/>
          <w:vAlign w:val="center"/>
        </w:tcPr>
        <w:p w:rsidR="00E440E2" w:rsidRDefault="00241982" w:rsidP="00B87C0C">
          <w:pPr>
            <w:pStyle w:val="Cabealho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>
                <wp:extent cx="438150" cy="523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1" w:type="dxa"/>
          <w:vAlign w:val="center"/>
        </w:tcPr>
        <w:p w:rsidR="00E440E2" w:rsidRPr="00957BAB" w:rsidRDefault="00E440E2">
          <w:pPr>
            <w:pStyle w:val="Cabealho"/>
            <w:rPr>
              <w:rFonts w:ascii="Times New Roman" w:hAnsi="Times New Roman"/>
              <w:b/>
              <w:sz w:val="12"/>
              <w:szCs w:val="12"/>
            </w:rPr>
          </w:pPr>
          <w:r w:rsidRPr="001C7F1D">
            <w:rPr>
              <w:rFonts w:cs="Arial"/>
              <w:b/>
              <w:sz w:val="24"/>
              <w:szCs w:val="24"/>
            </w:rPr>
            <w:t>ESTADO DE SANTA CATARINA</w:t>
          </w:r>
        </w:p>
      </w:tc>
    </w:tr>
  </w:tbl>
  <w:p w:rsidR="00E440E2" w:rsidRPr="00017252" w:rsidRDefault="00E440E2">
    <w:pPr>
      <w:pStyle w:val="Cabealho"/>
      <w:rPr>
        <w:rFonts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980B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A62430"/>
    <w:multiLevelType w:val="singleLevel"/>
    <w:tmpl w:val="DCB21972"/>
    <w:lvl w:ilvl="0">
      <w:start w:val="2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EC417A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587AF8"/>
    <w:multiLevelType w:val="singleLevel"/>
    <w:tmpl w:val="373424CA"/>
    <w:lvl w:ilvl="0">
      <w:start w:val="1"/>
      <w:numFmt w:val="lowerLetter"/>
      <w:lvlText w:val="%1)"/>
      <w:lvlJc w:val="left"/>
      <w:pPr>
        <w:tabs>
          <w:tab w:val="num" w:pos="1778"/>
        </w:tabs>
        <w:ind w:firstLine="1418"/>
      </w:pPr>
      <w:rPr>
        <w:rFonts w:hint="default"/>
      </w:rPr>
    </w:lvl>
  </w:abstractNum>
  <w:abstractNum w:abstractNumId="5">
    <w:nsid w:val="1B8C0B76"/>
    <w:multiLevelType w:val="singleLevel"/>
    <w:tmpl w:val="A2D8D89E"/>
    <w:lvl w:ilvl="0">
      <w:start w:val="1"/>
      <w:numFmt w:val="lowerLetter"/>
      <w:lvlText w:val="%1)"/>
      <w:lvlJc w:val="left"/>
      <w:pPr>
        <w:tabs>
          <w:tab w:val="num" w:pos="2515"/>
        </w:tabs>
        <w:ind w:left="2515" w:hanging="360"/>
      </w:pPr>
      <w:rPr>
        <w:rFonts w:hint="default"/>
      </w:rPr>
    </w:lvl>
  </w:abstractNum>
  <w:abstractNum w:abstractNumId="6">
    <w:nsid w:val="1EAE2FA1"/>
    <w:multiLevelType w:val="singleLevel"/>
    <w:tmpl w:val="BE80BA36"/>
    <w:lvl w:ilvl="0">
      <w:start w:val="1"/>
      <w:numFmt w:val="lowerLetter"/>
      <w:lvlText w:val="%1)"/>
      <w:lvlJc w:val="left"/>
      <w:pPr>
        <w:tabs>
          <w:tab w:val="num" w:pos="2515"/>
        </w:tabs>
        <w:ind w:left="2515" w:hanging="360"/>
      </w:pPr>
      <w:rPr>
        <w:rFonts w:hint="default"/>
      </w:rPr>
    </w:lvl>
  </w:abstractNum>
  <w:abstractNum w:abstractNumId="7">
    <w:nsid w:val="224863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0A316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867B04"/>
    <w:multiLevelType w:val="singleLevel"/>
    <w:tmpl w:val="1DF470C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2EE662C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4A28D0"/>
    <w:multiLevelType w:val="singleLevel"/>
    <w:tmpl w:val="E89C5D1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2">
    <w:nsid w:val="36CA28C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88300F"/>
    <w:multiLevelType w:val="singleLevel"/>
    <w:tmpl w:val="DCB21972"/>
    <w:lvl w:ilvl="0">
      <w:start w:val="2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4A40657"/>
    <w:multiLevelType w:val="singleLevel"/>
    <w:tmpl w:val="C57EF2E0"/>
    <w:lvl w:ilvl="0">
      <w:start w:val="1"/>
      <w:numFmt w:val="lowerLetter"/>
      <w:lvlText w:val="%1)"/>
      <w:lvlJc w:val="left"/>
      <w:pPr>
        <w:tabs>
          <w:tab w:val="num" w:pos="2515"/>
        </w:tabs>
        <w:ind w:left="2515" w:hanging="360"/>
      </w:pPr>
      <w:rPr>
        <w:rFonts w:hint="default"/>
      </w:rPr>
    </w:lvl>
  </w:abstractNum>
  <w:abstractNum w:abstractNumId="15">
    <w:nsid w:val="54B61471"/>
    <w:multiLevelType w:val="singleLevel"/>
    <w:tmpl w:val="AE14ABD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6">
    <w:nsid w:val="61EE367A"/>
    <w:multiLevelType w:val="singleLevel"/>
    <w:tmpl w:val="4074164C"/>
    <w:lvl w:ilvl="0">
      <w:start w:val="1"/>
      <w:numFmt w:val="lowerLetter"/>
      <w:lvlText w:val="%1)"/>
      <w:lvlJc w:val="left"/>
      <w:pPr>
        <w:tabs>
          <w:tab w:val="num" w:pos="2515"/>
        </w:tabs>
        <w:ind w:left="2515" w:hanging="360"/>
      </w:pPr>
      <w:rPr>
        <w:rFonts w:hint="default"/>
      </w:rPr>
    </w:lvl>
  </w:abstractNum>
  <w:abstractNum w:abstractNumId="17">
    <w:nsid w:val="647C3370"/>
    <w:multiLevelType w:val="singleLevel"/>
    <w:tmpl w:val="9D7C4DF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>
    <w:nsid w:val="662B4858"/>
    <w:multiLevelType w:val="singleLevel"/>
    <w:tmpl w:val="1A1A9F24"/>
    <w:lvl w:ilvl="0">
      <w:start w:val="1"/>
      <w:numFmt w:val="lowerLetter"/>
      <w:lvlText w:val="%1)"/>
      <w:lvlJc w:val="left"/>
      <w:pPr>
        <w:tabs>
          <w:tab w:val="num" w:pos="2515"/>
        </w:tabs>
        <w:ind w:left="2515" w:hanging="360"/>
      </w:pPr>
      <w:rPr>
        <w:rFonts w:hint="default"/>
      </w:rPr>
    </w:lvl>
  </w:abstractNum>
  <w:abstractNum w:abstractNumId="19">
    <w:nsid w:val="66906C6E"/>
    <w:multiLevelType w:val="singleLevel"/>
    <w:tmpl w:val="0A62A19A"/>
    <w:lvl w:ilvl="0">
      <w:start w:val="2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69B4740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9C45147"/>
    <w:multiLevelType w:val="singleLevel"/>
    <w:tmpl w:val="DCB21972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6B254666"/>
    <w:multiLevelType w:val="singleLevel"/>
    <w:tmpl w:val="7CF07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B492CE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4244C19"/>
    <w:multiLevelType w:val="singleLevel"/>
    <w:tmpl w:val="5414E12E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</w:abstractNum>
  <w:abstractNum w:abstractNumId="25">
    <w:nsid w:val="777F1E3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C6F0DF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6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6"/>
  </w:num>
  <w:num w:numId="8">
    <w:abstractNumId w:val="4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19"/>
  </w:num>
  <w:num w:numId="14">
    <w:abstractNumId w:val="2"/>
  </w:num>
  <w:num w:numId="15">
    <w:abstractNumId w:val="13"/>
  </w:num>
  <w:num w:numId="16">
    <w:abstractNumId w:val="21"/>
  </w:num>
  <w:num w:numId="17">
    <w:abstractNumId w:val="23"/>
  </w:num>
  <w:num w:numId="18">
    <w:abstractNumId w:val="7"/>
  </w:num>
  <w:num w:numId="19">
    <w:abstractNumId w:val="20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25"/>
  </w:num>
  <w:num w:numId="25">
    <w:abstractNumId w:val="24"/>
  </w:num>
  <w:num w:numId="26">
    <w:abstractNumId w:val="9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FEA"/>
    <w:rsid w:val="000017FA"/>
    <w:rsid w:val="000130BE"/>
    <w:rsid w:val="00017252"/>
    <w:rsid w:val="00022D30"/>
    <w:rsid w:val="00024F46"/>
    <w:rsid w:val="000565A2"/>
    <w:rsid w:val="00142BEB"/>
    <w:rsid w:val="0015088D"/>
    <w:rsid w:val="001C5716"/>
    <w:rsid w:val="001C7F1D"/>
    <w:rsid w:val="001D6E51"/>
    <w:rsid w:val="002243DE"/>
    <w:rsid w:val="00224CF5"/>
    <w:rsid w:val="00236C39"/>
    <w:rsid w:val="002400A2"/>
    <w:rsid w:val="00241982"/>
    <w:rsid w:val="002739F0"/>
    <w:rsid w:val="00277CCD"/>
    <w:rsid w:val="0029521F"/>
    <w:rsid w:val="002955CF"/>
    <w:rsid w:val="002A14B7"/>
    <w:rsid w:val="002B492A"/>
    <w:rsid w:val="002C7454"/>
    <w:rsid w:val="002D0172"/>
    <w:rsid w:val="002E0A0A"/>
    <w:rsid w:val="002E44A7"/>
    <w:rsid w:val="002F10E5"/>
    <w:rsid w:val="00374835"/>
    <w:rsid w:val="003C0D81"/>
    <w:rsid w:val="003C1863"/>
    <w:rsid w:val="003F5C96"/>
    <w:rsid w:val="0041623B"/>
    <w:rsid w:val="004506E6"/>
    <w:rsid w:val="0045415F"/>
    <w:rsid w:val="00456067"/>
    <w:rsid w:val="00477767"/>
    <w:rsid w:val="00483C86"/>
    <w:rsid w:val="004B5170"/>
    <w:rsid w:val="004F6DA1"/>
    <w:rsid w:val="00521DAC"/>
    <w:rsid w:val="005252D8"/>
    <w:rsid w:val="0052640E"/>
    <w:rsid w:val="005433A4"/>
    <w:rsid w:val="005442B7"/>
    <w:rsid w:val="00571BDC"/>
    <w:rsid w:val="00600337"/>
    <w:rsid w:val="00611E17"/>
    <w:rsid w:val="0063597B"/>
    <w:rsid w:val="006831D2"/>
    <w:rsid w:val="006A399D"/>
    <w:rsid w:val="006E3C40"/>
    <w:rsid w:val="00705107"/>
    <w:rsid w:val="00726D83"/>
    <w:rsid w:val="00727150"/>
    <w:rsid w:val="00732A5F"/>
    <w:rsid w:val="00737668"/>
    <w:rsid w:val="00771716"/>
    <w:rsid w:val="00777404"/>
    <w:rsid w:val="00791CA2"/>
    <w:rsid w:val="007B7CCB"/>
    <w:rsid w:val="007D5676"/>
    <w:rsid w:val="0081086D"/>
    <w:rsid w:val="00861C3B"/>
    <w:rsid w:val="00862F8F"/>
    <w:rsid w:val="00885D3C"/>
    <w:rsid w:val="008A0615"/>
    <w:rsid w:val="008C27F7"/>
    <w:rsid w:val="008E356D"/>
    <w:rsid w:val="00923FB2"/>
    <w:rsid w:val="00944575"/>
    <w:rsid w:val="009449A2"/>
    <w:rsid w:val="00957BAB"/>
    <w:rsid w:val="0096217D"/>
    <w:rsid w:val="0096697B"/>
    <w:rsid w:val="00977ADF"/>
    <w:rsid w:val="00985949"/>
    <w:rsid w:val="009C55D2"/>
    <w:rsid w:val="009D0EB7"/>
    <w:rsid w:val="009F68D0"/>
    <w:rsid w:val="00A0307E"/>
    <w:rsid w:val="00A201C2"/>
    <w:rsid w:val="00A30C69"/>
    <w:rsid w:val="00A43155"/>
    <w:rsid w:val="00AB3048"/>
    <w:rsid w:val="00AB7B45"/>
    <w:rsid w:val="00AC76DF"/>
    <w:rsid w:val="00B1529C"/>
    <w:rsid w:val="00B15932"/>
    <w:rsid w:val="00B3756C"/>
    <w:rsid w:val="00B40752"/>
    <w:rsid w:val="00B447C7"/>
    <w:rsid w:val="00B63FEA"/>
    <w:rsid w:val="00B665F6"/>
    <w:rsid w:val="00B71B92"/>
    <w:rsid w:val="00B72CF6"/>
    <w:rsid w:val="00B75FF5"/>
    <w:rsid w:val="00B866CD"/>
    <w:rsid w:val="00B86E6E"/>
    <w:rsid w:val="00B87C0C"/>
    <w:rsid w:val="00B968C7"/>
    <w:rsid w:val="00BF5362"/>
    <w:rsid w:val="00BF5C4F"/>
    <w:rsid w:val="00C13062"/>
    <w:rsid w:val="00C430E8"/>
    <w:rsid w:val="00CB13F3"/>
    <w:rsid w:val="00CF03B7"/>
    <w:rsid w:val="00CF43EF"/>
    <w:rsid w:val="00D40E9E"/>
    <w:rsid w:val="00D9326D"/>
    <w:rsid w:val="00DA6194"/>
    <w:rsid w:val="00E15072"/>
    <w:rsid w:val="00E440E2"/>
    <w:rsid w:val="00E6383F"/>
    <w:rsid w:val="00E87A28"/>
    <w:rsid w:val="00E94193"/>
    <w:rsid w:val="00EA4627"/>
    <w:rsid w:val="00EC6386"/>
    <w:rsid w:val="00ED37CF"/>
    <w:rsid w:val="00EE1AD8"/>
    <w:rsid w:val="00EF47D3"/>
    <w:rsid w:val="00F13E34"/>
    <w:rsid w:val="00F2749A"/>
    <w:rsid w:val="00F76730"/>
    <w:rsid w:val="00F80B76"/>
    <w:rsid w:val="00FE282C"/>
    <w:rsid w:val="00FE7DBF"/>
    <w:rsid w:val="00FF244B"/>
    <w:rsid w:val="00FF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3EF"/>
    <w:pPr>
      <w:widowControl w:val="0"/>
    </w:pPr>
    <w:rPr>
      <w:rFonts w:ascii="Arial" w:hAnsi="Arial"/>
      <w:color w:val="000000"/>
      <w:sz w:val="22"/>
    </w:rPr>
  </w:style>
  <w:style w:type="paragraph" w:styleId="Ttulo1">
    <w:name w:val="heading 1"/>
    <w:basedOn w:val="Normal"/>
    <w:next w:val="Normal"/>
    <w:qFormat/>
    <w:rsid w:val="00CF43EF"/>
    <w:pPr>
      <w:keepNext/>
      <w:spacing w:line="-320" w:lineRule="auto"/>
      <w:jc w:val="center"/>
      <w:outlineLvl w:val="0"/>
    </w:pPr>
    <w:rPr>
      <w:rFonts w:ascii="Southern" w:hAnsi="Southern"/>
      <w:b/>
      <w:sz w:val="24"/>
    </w:rPr>
  </w:style>
  <w:style w:type="paragraph" w:styleId="Ttulo2">
    <w:name w:val="heading 2"/>
    <w:basedOn w:val="Normal"/>
    <w:next w:val="Normal"/>
    <w:qFormat/>
    <w:rsid w:val="00CF43EF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LDB"/>
    <w:qFormat/>
    <w:rsid w:val="00CF43EF"/>
    <w:pPr>
      <w:keepNext/>
      <w:spacing w:before="240" w:after="120"/>
      <w:jc w:val="center"/>
      <w:outlineLvl w:val="2"/>
    </w:pPr>
    <w:rPr>
      <w:rFonts w:ascii="Times New Roman" w:hAnsi="Times New Roman"/>
      <w:b/>
      <w:caps/>
      <w:color w:val="auto"/>
      <w:sz w:val="24"/>
      <w:u w:val="single"/>
    </w:rPr>
  </w:style>
  <w:style w:type="paragraph" w:styleId="Ttulo4">
    <w:name w:val="heading 4"/>
    <w:basedOn w:val="Normal"/>
    <w:next w:val="Normal"/>
    <w:qFormat/>
    <w:rsid w:val="00CF43EF"/>
    <w:pPr>
      <w:keepNext/>
      <w:widowControl/>
      <w:spacing w:line="-320" w:lineRule="auto"/>
      <w:jc w:val="both"/>
      <w:outlineLvl w:val="3"/>
    </w:pPr>
    <w:rPr>
      <w:rFonts w:ascii="Southern" w:hAnsi="Southern"/>
      <w:b/>
      <w:sz w:val="24"/>
    </w:rPr>
  </w:style>
  <w:style w:type="paragraph" w:styleId="Ttulo5">
    <w:name w:val="heading 5"/>
    <w:basedOn w:val="Normal"/>
    <w:next w:val="Normal"/>
    <w:qFormat/>
    <w:rsid w:val="00CF43EF"/>
    <w:pPr>
      <w:keepNext/>
      <w:jc w:val="center"/>
      <w:outlineLvl w:val="4"/>
    </w:pPr>
    <w:rPr>
      <w:rFonts w:cs="Arial"/>
      <w:b/>
      <w:bCs/>
      <w:color w:val="auto"/>
      <w:spacing w:val="5"/>
      <w:sz w:val="20"/>
    </w:rPr>
  </w:style>
  <w:style w:type="paragraph" w:styleId="Ttulo6">
    <w:name w:val="heading 6"/>
    <w:basedOn w:val="Normal"/>
    <w:next w:val="Normal"/>
    <w:qFormat/>
    <w:rsid w:val="00CF43EF"/>
    <w:pPr>
      <w:keepNext/>
      <w:widowControl/>
      <w:suppressAutoHyphens/>
      <w:jc w:val="both"/>
      <w:outlineLvl w:val="5"/>
    </w:pPr>
    <w:rPr>
      <w:rFonts w:ascii="Times New Roman" w:hAnsi="Times New Roman"/>
      <w:b/>
      <w:color w:val="auto"/>
      <w:sz w:val="24"/>
    </w:rPr>
  </w:style>
  <w:style w:type="paragraph" w:styleId="Ttulo7">
    <w:name w:val="heading 7"/>
    <w:basedOn w:val="Normal"/>
    <w:next w:val="Normal"/>
    <w:qFormat/>
    <w:rsid w:val="00CF43EF"/>
    <w:pPr>
      <w:keepNext/>
      <w:widowControl/>
      <w:suppressAutoHyphens/>
      <w:jc w:val="center"/>
      <w:outlineLvl w:val="6"/>
    </w:pPr>
    <w:rPr>
      <w:rFonts w:ascii="Times New Roman" w:hAnsi="Times New Roman"/>
      <w:b/>
      <w:color w:val="auto"/>
      <w:sz w:val="28"/>
    </w:rPr>
  </w:style>
  <w:style w:type="paragraph" w:styleId="Ttulo8">
    <w:name w:val="heading 8"/>
    <w:basedOn w:val="Normal"/>
    <w:next w:val="Normal"/>
    <w:qFormat/>
    <w:rsid w:val="00CF43EF"/>
    <w:pPr>
      <w:keepNext/>
      <w:widowControl/>
      <w:suppressAutoHyphens/>
      <w:outlineLvl w:val="7"/>
    </w:pPr>
    <w:rPr>
      <w:b/>
      <w:color w:val="auto"/>
      <w:sz w:val="20"/>
    </w:rPr>
  </w:style>
  <w:style w:type="paragraph" w:styleId="Ttulo9">
    <w:name w:val="heading 9"/>
    <w:basedOn w:val="Normal"/>
    <w:next w:val="Normal"/>
    <w:qFormat/>
    <w:rsid w:val="00CF43EF"/>
    <w:pPr>
      <w:keepNext/>
      <w:widowControl/>
      <w:suppressAutoHyphens/>
      <w:outlineLvl w:val="8"/>
    </w:pPr>
    <w:rPr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DB">
    <w:name w:val="LDB"/>
    <w:basedOn w:val="Normal"/>
    <w:rsid w:val="00CF43EF"/>
    <w:pPr>
      <w:spacing w:before="120" w:after="120"/>
      <w:jc w:val="both"/>
    </w:pPr>
    <w:rPr>
      <w:rFonts w:ascii="Times New Roman" w:hAnsi="Times New Roman"/>
      <w:color w:val="auto"/>
      <w:sz w:val="24"/>
    </w:rPr>
  </w:style>
  <w:style w:type="character" w:styleId="Nmerodepgina">
    <w:name w:val="page number"/>
    <w:basedOn w:val="Fontepargpadro"/>
    <w:rsid w:val="00CF43EF"/>
  </w:style>
  <w:style w:type="paragraph" w:styleId="Cabealho">
    <w:name w:val="header"/>
    <w:basedOn w:val="Normal"/>
    <w:rsid w:val="00CF43EF"/>
    <w:pPr>
      <w:tabs>
        <w:tab w:val="center" w:pos="4419"/>
        <w:tab w:val="right" w:pos="8838"/>
      </w:tabs>
    </w:pPr>
    <w:rPr>
      <w:color w:val="auto"/>
      <w:sz w:val="20"/>
    </w:rPr>
  </w:style>
  <w:style w:type="paragraph" w:styleId="Rodap">
    <w:name w:val="footer"/>
    <w:basedOn w:val="Normal"/>
    <w:link w:val="RodapChar"/>
    <w:uiPriority w:val="99"/>
    <w:rsid w:val="00CF43EF"/>
    <w:pPr>
      <w:tabs>
        <w:tab w:val="center" w:pos="4419"/>
        <w:tab w:val="right" w:pos="8838"/>
      </w:tabs>
    </w:pPr>
    <w:rPr>
      <w:color w:val="auto"/>
      <w:sz w:val="20"/>
    </w:rPr>
  </w:style>
  <w:style w:type="paragraph" w:customStyle="1" w:styleId="Corpodetexto21">
    <w:name w:val="Corpo de texto 21"/>
    <w:basedOn w:val="Normal"/>
    <w:rsid w:val="00CF43EF"/>
    <w:pPr>
      <w:ind w:firstLine="1843"/>
      <w:jc w:val="both"/>
    </w:pPr>
    <w:rPr>
      <w:rFonts w:ascii="Southern" w:hAnsi="Southern"/>
      <w:sz w:val="24"/>
    </w:rPr>
  </w:style>
  <w:style w:type="paragraph" w:customStyle="1" w:styleId="Recuodecorpodetexto21">
    <w:name w:val="Recuo de corpo de texto 21"/>
    <w:basedOn w:val="Normal"/>
    <w:rsid w:val="00CF43EF"/>
    <w:pPr>
      <w:ind w:firstLine="2489"/>
      <w:jc w:val="both"/>
    </w:pPr>
    <w:rPr>
      <w:rFonts w:ascii="Southern" w:hAnsi="Southern"/>
      <w:sz w:val="24"/>
    </w:rPr>
  </w:style>
  <w:style w:type="paragraph" w:customStyle="1" w:styleId="Recuodecorpodetexto31">
    <w:name w:val="Recuo de corpo de texto 31"/>
    <w:basedOn w:val="Normal"/>
    <w:rsid w:val="00CF43EF"/>
    <w:pPr>
      <w:ind w:firstLine="1843"/>
      <w:jc w:val="both"/>
    </w:pPr>
    <w:rPr>
      <w:rFonts w:ascii="Southern" w:hAnsi="Southern"/>
    </w:rPr>
  </w:style>
  <w:style w:type="paragraph" w:customStyle="1" w:styleId="A282868">
    <w:name w:val="_A282868"/>
    <w:rsid w:val="00CF43EF"/>
    <w:pPr>
      <w:ind w:left="4032" w:right="1008"/>
      <w:jc w:val="both"/>
    </w:pPr>
    <w:rPr>
      <w:color w:val="000000"/>
      <w:sz w:val="24"/>
    </w:rPr>
  </w:style>
  <w:style w:type="paragraph" w:customStyle="1" w:styleId="A280168">
    <w:name w:val="_A280168"/>
    <w:rsid w:val="00CF43EF"/>
    <w:pPr>
      <w:ind w:left="144" w:right="1008" w:firstLine="3888"/>
      <w:jc w:val="both"/>
    </w:pPr>
    <w:rPr>
      <w:color w:val="000000"/>
      <w:sz w:val="24"/>
    </w:rPr>
  </w:style>
  <w:style w:type="paragraph" w:customStyle="1" w:styleId="A011070">
    <w:name w:val="_A011070"/>
    <w:rsid w:val="00CF43EF"/>
    <w:pPr>
      <w:ind w:left="1440" w:right="720" w:hanging="1296"/>
      <w:jc w:val="both"/>
    </w:pPr>
    <w:rPr>
      <w:color w:val="000000"/>
      <w:sz w:val="24"/>
    </w:rPr>
  </w:style>
  <w:style w:type="paragraph" w:customStyle="1" w:styleId="A101671">
    <w:name w:val="_A101671"/>
    <w:rsid w:val="00CF43EF"/>
    <w:pPr>
      <w:ind w:left="2304" w:right="576" w:hanging="864"/>
      <w:jc w:val="both"/>
    </w:pPr>
    <w:rPr>
      <w:color w:val="000000"/>
      <w:sz w:val="24"/>
    </w:rPr>
  </w:style>
  <w:style w:type="paragraph" w:customStyle="1" w:styleId="A011071">
    <w:name w:val="_A011071"/>
    <w:rsid w:val="00CF43EF"/>
    <w:pPr>
      <w:ind w:left="1440" w:right="576" w:hanging="1296"/>
      <w:jc w:val="both"/>
    </w:pPr>
    <w:rPr>
      <w:color w:val="000000"/>
      <w:sz w:val="24"/>
    </w:rPr>
  </w:style>
  <w:style w:type="paragraph" w:customStyle="1" w:styleId="A281071">
    <w:name w:val="_A281071"/>
    <w:rsid w:val="00CF43EF"/>
    <w:pPr>
      <w:ind w:left="1440" w:right="576" w:firstLine="2592"/>
      <w:jc w:val="both"/>
    </w:pPr>
    <w:rPr>
      <w:color w:val="000000"/>
      <w:sz w:val="24"/>
    </w:rPr>
  </w:style>
  <w:style w:type="paragraph" w:styleId="Recuodecorpodetexto">
    <w:name w:val="Body Text Indent"/>
    <w:basedOn w:val="Normal"/>
    <w:rsid w:val="00CF43EF"/>
    <w:pPr>
      <w:ind w:left="2438"/>
      <w:jc w:val="both"/>
    </w:pPr>
    <w:rPr>
      <w:rFonts w:ascii="Southern" w:hAnsi="Southern"/>
      <w:sz w:val="24"/>
    </w:rPr>
  </w:style>
  <w:style w:type="paragraph" w:styleId="Recuodecorpodetexto2">
    <w:name w:val="Body Text Indent 2"/>
    <w:basedOn w:val="Normal"/>
    <w:rsid w:val="00CF43EF"/>
    <w:pPr>
      <w:ind w:left="2160" w:firstLine="11"/>
    </w:pPr>
    <w:rPr>
      <w:rFonts w:ascii="Southern" w:hAnsi="Southern"/>
      <w:sz w:val="24"/>
    </w:rPr>
  </w:style>
  <w:style w:type="paragraph" w:styleId="Recuodecorpodetexto3">
    <w:name w:val="Body Text Indent 3"/>
    <w:basedOn w:val="Normal"/>
    <w:rsid w:val="00CF43EF"/>
    <w:pPr>
      <w:ind w:firstLine="2438"/>
      <w:jc w:val="both"/>
    </w:pPr>
    <w:rPr>
      <w:rFonts w:ascii="Southern" w:hAnsi="Southern"/>
      <w:sz w:val="24"/>
    </w:rPr>
  </w:style>
  <w:style w:type="character" w:styleId="Forte">
    <w:name w:val="Strong"/>
    <w:qFormat/>
    <w:rsid w:val="00CF43EF"/>
    <w:rPr>
      <w:b/>
    </w:rPr>
  </w:style>
  <w:style w:type="paragraph" w:styleId="NormalWeb">
    <w:name w:val="Normal (Web)"/>
    <w:basedOn w:val="Normal"/>
    <w:rsid w:val="00CF43EF"/>
    <w:pPr>
      <w:widowControl/>
      <w:suppressAutoHyphens/>
      <w:spacing w:before="100" w:after="100"/>
    </w:pPr>
    <w:rPr>
      <w:rFonts w:ascii="Arial Unicode MS" w:eastAsia="Arial Unicode MS" w:hAnsi="Arial Unicode MS"/>
      <w:color w:val="auto"/>
      <w:sz w:val="24"/>
    </w:rPr>
  </w:style>
  <w:style w:type="paragraph" w:customStyle="1" w:styleId="Estilo1">
    <w:name w:val="Estilo1"/>
    <w:basedOn w:val="Normal"/>
    <w:rsid w:val="00CF43EF"/>
    <w:pPr>
      <w:widowControl/>
      <w:suppressAutoHyphens/>
      <w:jc w:val="both"/>
    </w:pPr>
    <w:rPr>
      <w:rFonts w:ascii="Times New Roman" w:hAnsi="Times New Roman"/>
      <w:color w:val="auto"/>
      <w:sz w:val="24"/>
    </w:rPr>
  </w:style>
  <w:style w:type="paragraph" w:styleId="Corpodetexto">
    <w:name w:val="Body Text"/>
    <w:basedOn w:val="Normal"/>
    <w:rsid w:val="00CF43EF"/>
    <w:pPr>
      <w:widowControl/>
      <w:suppressAutoHyphens/>
    </w:pPr>
    <w:rPr>
      <w:rFonts w:ascii="Times New Roman" w:hAnsi="Times New Roman"/>
      <w:color w:val="auto"/>
      <w:sz w:val="24"/>
    </w:rPr>
  </w:style>
  <w:style w:type="paragraph" w:styleId="Corpodetexto3">
    <w:name w:val="Body Text 3"/>
    <w:basedOn w:val="Normal"/>
    <w:rsid w:val="00CF43EF"/>
    <w:pPr>
      <w:widowControl/>
      <w:suppressAutoHyphens/>
      <w:jc w:val="both"/>
    </w:pPr>
    <w:rPr>
      <w:rFonts w:ascii="Times New Roman" w:hAnsi="Times New Roman"/>
      <w:color w:val="auto"/>
      <w:sz w:val="24"/>
    </w:rPr>
  </w:style>
  <w:style w:type="paragraph" w:customStyle="1" w:styleId="xl37">
    <w:name w:val="xl37"/>
    <w:basedOn w:val="Normal"/>
    <w:rsid w:val="00CF43EF"/>
    <w:pPr>
      <w:widowControl/>
      <w:suppressAutoHyphens/>
      <w:spacing w:before="100" w:after="100"/>
      <w:jc w:val="center"/>
    </w:pPr>
    <w:rPr>
      <w:rFonts w:ascii="Times New Roman" w:hAnsi="Times New Roman"/>
      <w:color w:val="auto"/>
      <w:sz w:val="24"/>
    </w:rPr>
  </w:style>
  <w:style w:type="paragraph" w:customStyle="1" w:styleId="Blockquote">
    <w:name w:val="Blockquote"/>
    <w:basedOn w:val="Normal"/>
    <w:rsid w:val="00CF43EF"/>
    <w:pPr>
      <w:widowControl/>
      <w:snapToGrid w:val="0"/>
      <w:spacing w:before="100" w:after="100"/>
      <w:ind w:left="360" w:right="360"/>
    </w:pPr>
    <w:rPr>
      <w:rFonts w:ascii="Times New Roman" w:hAnsi="Times New Roman"/>
      <w:color w:val="auto"/>
      <w:sz w:val="24"/>
    </w:rPr>
  </w:style>
  <w:style w:type="paragraph" w:customStyle="1" w:styleId="Corpodetexto1">
    <w:name w:val="Corpo de texto1"/>
    <w:basedOn w:val="Normal"/>
    <w:rsid w:val="00CF43EF"/>
    <w:pPr>
      <w:widowControl/>
      <w:suppressAutoHyphens/>
    </w:pPr>
    <w:rPr>
      <w:rFonts w:ascii="Times New Roman" w:hAnsi="Times New Roman"/>
      <w:color w:val="auto"/>
      <w:sz w:val="24"/>
      <w:szCs w:val="24"/>
      <w:lang w:val="pt-PT" w:eastAsia="ar-SA"/>
    </w:rPr>
  </w:style>
  <w:style w:type="character" w:customStyle="1" w:styleId="RodapChar">
    <w:name w:val="Rodapé Char"/>
    <w:basedOn w:val="Fontepargpadro"/>
    <w:link w:val="Rodap"/>
    <w:uiPriority w:val="99"/>
    <w:rsid w:val="00BF5362"/>
    <w:rPr>
      <w:rFonts w:ascii="Arial" w:hAnsi="Arial"/>
    </w:rPr>
  </w:style>
  <w:style w:type="character" w:styleId="Refdecomentrio">
    <w:name w:val="annotation reference"/>
    <w:basedOn w:val="Fontepargpadro"/>
    <w:rsid w:val="00B159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1593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B15932"/>
    <w:rPr>
      <w:rFonts w:ascii="Arial" w:hAnsi="Arial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159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15932"/>
    <w:rPr>
      <w:rFonts w:ascii="Arial" w:hAnsi="Arial"/>
      <w:b/>
      <w:bCs/>
      <w:color w:val="000000"/>
    </w:rPr>
  </w:style>
  <w:style w:type="paragraph" w:styleId="Textodebalo">
    <w:name w:val="Balloon Text"/>
    <w:basedOn w:val="Normal"/>
    <w:link w:val="TextodebaloChar"/>
    <w:rsid w:val="00B159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159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 Civil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Civil</dc:creator>
  <cp:lastModifiedBy>nhm1001</cp:lastModifiedBy>
  <cp:revision>2</cp:revision>
  <cp:lastPrinted>2019-08-26T20:41:00Z</cp:lastPrinted>
  <dcterms:created xsi:type="dcterms:W3CDTF">2019-09-02T16:43:00Z</dcterms:created>
  <dcterms:modified xsi:type="dcterms:W3CDTF">2019-09-02T16:43:00Z</dcterms:modified>
</cp:coreProperties>
</file>